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518"/>
        <w:gridCol w:w="1531"/>
        <w:gridCol w:w="1525"/>
        <w:gridCol w:w="1726"/>
        <w:gridCol w:w="1494"/>
        <w:gridCol w:w="1598"/>
        <w:gridCol w:w="1598"/>
        <w:gridCol w:w="2006"/>
      </w:tblGrid>
      <w:tr w:rsidR="00D608EC" w:rsidRPr="00D608EC" w14:paraId="072078E5" w14:textId="77777777" w:rsidTr="00BE707B">
        <w:tc>
          <w:tcPr>
            <w:tcW w:w="1525" w:type="dxa"/>
          </w:tcPr>
          <w:p w14:paraId="1A9C1C89" w14:textId="6DE1A288"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Expediente</w:t>
            </w:r>
          </w:p>
        </w:tc>
        <w:tc>
          <w:tcPr>
            <w:tcW w:w="1537" w:type="dxa"/>
          </w:tcPr>
          <w:p w14:paraId="71FF7781" w14:textId="480D0233"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Fecha de notificación del acuerdo de admisión</w:t>
            </w:r>
          </w:p>
        </w:tc>
        <w:tc>
          <w:tcPr>
            <w:tcW w:w="1534" w:type="dxa"/>
          </w:tcPr>
          <w:p w14:paraId="7098717E" w14:textId="42FE4C25"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Fechas entre las que transcurre el plazo de 90 días</w:t>
            </w:r>
          </w:p>
        </w:tc>
        <w:tc>
          <w:tcPr>
            <w:tcW w:w="1674" w:type="dxa"/>
          </w:tcPr>
          <w:p w14:paraId="2346E2B1" w14:textId="1CD31BF9"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Norma general declarada inconstitucional</w:t>
            </w:r>
          </w:p>
        </w:tc>
        <w:tc>
          <w:tcPr>
            <w:tcW w:w="1503" w:type="dxa"/>
          </w:tcPr>
          <w:p w14:paraId="717353C6" w14:textId="33F6A8D9" w:rsidR="00A954CE" w:rsidRPr="00D608EC" w:rsidRDefault="0057165B" w:rsidP="00D608EC">
            <w:pPr>
              <w:jc w:val="center"/>
              <w:rPr>
                <w:rFonts w:ascii="Arial Narrow" w:hAnsi="Arial Narrow"/>
                <w:b/>
                <w:bCs/>
                <w:sz w:val="24"/>
                <w:szCs w:val="24"/>
              </w:rPr>
            </w:pPr>
            <w:r w:rsidRPr="00D608EC">
              <w:rPr>
                <w:rFonts w:ascii="Arial Narrow" w:hAnsi="Arial Narrow"/>
                <w:b/>
                <w:bCs/>
                <w:sz w:val="24"/>
                <w:szCs w:val="24"/>
              </w:rPr>
              <w:t>Órgano legislativo emisor de la norma general respectiva</w:t>
            </w:r>
          </w:p>
        </w:tc>
        <w:tc>
          <w:tcPr>
            <w:tcW w:w="1599" w:type="dxa"/>
          </w:tcPr>
          <w:p w14:paraId="7061CAF6" w14:textId="527E0568"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Datos de la jurisprudencia respectiva</w:t>
            </w:r>
          </w:p>
        </w:tc>
        <w:tc>
          <w:tcPr>
            <w:tcW w:w="1599" w:type="dxa"/>
          </w:tcPr>
          <w:p w14:paraId="72B43F44" w14:textId="6429DFB2" w:rsidR="00A954CE" w:rsidRPr="00D608EC" w:rsidRDefault="0057165B" w:rsidP="00D608EC">
            <w:pPr>
              <w:jc w:val="center"/>
              <w:rPr>
                <w:rFonts w:ascii="Arial Narrow" w:hAnsi="Arial Narrow"/>
                <w:b/>
                <w:bCs/>
                <w:sz w:val="24"/>
                <w:szCs w:val="24"/>
              </w:rPr>
            </w:pPr>
            <w:r w:rsidRPr="00D608EC">
              <w:rPr>
                <w:rFonts w:ascii="Arial Narrow" w:hAnsi="Arial Narrow"/>
                <w:b/>
                <w:bCs/>
                <w:sz w:val="24"/>
                <w:szCs w:val="24"/>
              </w:rPr>
              <w:t>Órgano emisor de la jurisprudencia respectiva</w:t>
            </w:r>
          </w:p>
        </w:tc>
        <w:tc>
          <w:tcPr>
            <w:tcW w:w="2025" w:type="dxa"/>
          </w:tcPr>
          <w:p w14:paraId="07EC164F" w14:textId="6F8E2274" w:rsidR="00A954CE" w:rsidRPr="00D608EC" w:rsidRDefault="00A954CE" w:rsidP="00D608EC">
            <w:pPr>
              <w:jc w:val="center"/>
              <w:rPr>
                <w:rFonts w:ascii="Arial Narrow" w:hAnsi="Arial Narrow"/>
                <w:b/>
                <w:bCs/>
                <w:sz w:val="24"/>
                <w:szCs w:val="24"/>
              </w:rPr>
            </w:pPr>
            <w:r w:rsidRPr="00D608EC">
              <w:rPr>
                <w:rFonts w:ascii="Arial Narrow" w:hAnsi="Arial Narrow"/>
                <w:b/>
                <w:bCs/>
                <w:sz w:val="24"/>
                <w:szCs w:val="24"/>
              </w:rPr>
              <w:t>Estatus</w:t>
            </w:r>
          </w:p>
        </w:tc>
      </w:tr>
      <w:tr w:rsidR="00D608EC" w:rsidRPr="00D608EC" w14:paraId="676399BD" w14:textId="77777777" w:rsidTr="00BE707B">
        <w:tc>
          <w:tcPr>
            <w:tcW w:w="1525" w:type="dxa"/>
          </w:tcPr>
          <w:p w14:paraId="03CA9268" w14:textId="14197FD1" w:rsidR="0000721B" w:rsidRPr="00D608EC" w:rsidRDefault="0000721B" w:rsidP="00D608EC">
            <w:pPr>
              <w:jc w:val="center"/>
              <w:rPr>
                <w:rFonts w:ascii="Arial Narrow" w:hAnsi="Arial Narrow"/>
                <w:b/>
                <w:bCs/>
                <w:sz w:val="24"/>
                <w:szCs w:val="24"/>
              </w:rPr>
            </w:pPr>
            <w:r w:rsidRPr="00D608EC">
              <w:rPr>
                <w:rFonts w:ascii="Arial Narrow" w:hAnsi="Arial Narrow"/>
                <w:b/>
                <w:bCs/>
                <w:sz w:val="24"/>
                <w:szCs w:val="24"/>
              </w:rPr>
              <w:t>2/2021</w:t>
            </w:r>
          </w:p>
        </w:tc>
        <w:tc>
          <w:tcPr>
            <w:tcW w:w="1537" w:type="dxa"/>
          </w:tcPr>
          <w:p w14:paraId="0D5F4F84" w14:textId="23C72AEE" w:rsidR="0000721B" w:rsidRPr="00D608EC" w:rsidRDefault="0000721B" w:rsidP="00D608EC">
            <w:pPr>
              <w:jc w:val="center"/>
              <w:rPr>
                <w:rFonts w:ascii="Arial Narrow" w:hAnsi="Arial Narrow"/>
                <w:sz w:val="24"/>
                <w:szCs w:val="24"/>
              </w:rPr>
            </w:pPr>
            <w:r w:rsidRPr="00D608EC">
              <w:rPr>
                <w:rFonts w:ascii="Arial Narrow" w:hAnsi="Arial Narrow"/>
                <w:sz w:val="24"/>
                <w:szCs w:val="24"/>
              </w:rPr>
              <w:t>17/11/2021</w:t>
            </w:r>
          </w:p>
        </w:tc>
        <w:tc>
          <w:tcPr>
            <w:tcW w:w="1534" w:type="dxa"/>
          </w:tcPr>
          <w:p w14:paraId="1C7A231E" w14:textId="380C056B" w:rsidR="0000721B" w:rsidRPr="00D608EC" w:rsidRDefault="0000721B" w:rsidP="00D608EC">
            <w:pPr>
              <w:jc w:val="center"/>
              <w:rPr>
                <w:rFonts w:ascii="Arial Narrow" w:hAnsi="Arial Narrow"/>
                <w:sz w:val="24"/>
                <w:szCs w:val="24"/>
              </w:rPr>
            </w:pPr>
            <w:r w:rsidRPr="00D608EC">
              <w:rPr>
                <w:rFonts w:ascii="Arial Narrow" w:hAnsi="Arial Narrow"/>
                <w:sz w:val="24"/>
                <w:szCs w:val="24"/>
              </w:rPr>
              <w:t>18/11/2021 al 20/09/2022</w:t>
            </w:r>
          </w:p>
        </w:tc>
        <w:tc>
          <w:tcPr>
            <w:tcW w:w="1674" w:type="dxa"/>
          </w:tcPr>
          <w:p w14:paraId="14A1F72A" w14:textId="5115E1A1" w:rsidR="0000721B" w:rsidRPr="00D608EC" w:rsidRDefault="0000721B" w:rsidP="00D608EC">
            <w:pPr>
              <w:jc w:val="center"/>
              <w:rPr>
                <w:rFonts w:ascii="Arial Narrow" w:hAnsi="Arial Narrow"/>
                <w:sz w:val="24"/>
                <w:szCs w:val="24"/>
              </w:rPr>
            </w:pPr>
            <w:r w:rsidRPr="00D608EC">
              <w:rPr>
                <w:rFonts w:ascii="Arial Narrow" w:hAnsi="Arial Narrow"/>
                <w:sz w:val="24"/>
                <w:szCs w:val="24"/>
              </w:rPr>
              <w:t>Artículo 132, fracción II, de la Ley del Seguro Social</w:t>
            </w:r>
          </w:p>
        </w:tc>
        <w:tc>
          <w:tcPr>
            <w:tcW w:w="1503" w:type="dxa"/>
          </w:tcPr>
          <w:p w14:paraId="2493C1C1" w14:textId="2321D15A" w:rsidR="0000721B" w:rsidRPr="00D608EC" w:rsidRDefault="0000721B" w:rsidP="00D608EC">
            <w:pPr>
              <w:jc w:val="center"/>
              <w:rPr>
                <w:rFonts w:ascii="Arial Narrow" w:hAnsi="Arial Narrow"/>
                <w:sz w:val="24"/>
                <w:szCs w:val="24"/>
              </w:rPr>
            </w:pPr>
            <w:r w:rsidRPr="00D608EC">
              <w:rPr>
                <w:rFonts w:ascii="Arial Narrow" w:hAnsi="Arial Narrow"/>
                <w:sz w:val="24"/>
                <w:szCs w:val="24"/>
              </w:rPr>
              <w:t>Congreso de la Unión</w:t>
            </w:r>
          </w:p>
        </w:tc>
        <w:tc>
          <w:tcPr>
            <w:tcW w:w="1599" w:type="dxa"/>
          </w:tcPr>
          <w:p w14:paraId="588B53FA" w14:textId="77777777" w:rsidR="0000721B" w:rsidRPr="00D608EC" w:rsidRDefault="0000721B" w:rsidP="00D608EC">
            <w:pPr>
              <w:jc w:val="center"/>
              <w:rPr>
                <w:rFonts w:ascii="Arial Narrow" w:hAnsi="Arial Narrow"/>
                <w:sz w:val="24"/>
                <w:szCs w:val="24"/>
              </w:rPr>
            </w:pPr>
            <w:r w:rsidRPr="00D608EC">
              <w:rPr>
                <w:rFonts w:ascii="Arial Narrow" w:hAnsi="Arial Narrow"/>
                <w:sz w:val="24"/>
                <w:szCs w:val="24"/>
              </w:rPr>
              <w:t>Pensión por viudez. La previsión normativa que sujeta su otorgamiento a un hecho independiente de la voluntad del asegurado, como lo es que entre su matrimonio y su muerte hubiera transcurrido al menos un año, vulnera los derechos de igualdad y a la seguridad social.</w:t>
            </w:r>
          </w:p>
          <w:p w14:paraId="74217735" w14:textId="77777777" w:rsidR="0000721B" w:rsidRPr="00D608EC" w:rsidRDefault="0000721B" w:rsidP="00D608EC">
            <w:pPr>
              <w:jc w:val="center"/>
              <w:rPr>
                <w:rFonts w:ascii="Arial Narrow" w:hAnsi="Arial Narrow"/>
                <w:sz w:val="24"/>
                <w:szCs w:val="24"/>
              </w:rPr>
            </w:pPr>
          </w:p>
          <w:p w14:paraId="42E720D8" w14:textId="77777777" w:rsidR="0000721B" w:rsidRPr="00D608EC" w:rsidRDefault="0000721B" w:rsidP="00D608EC">
            <w:pPr>
              <w:jc w:val="center"/>
              <w:rPr>
                <w:rFonts w:ascii="Arial Narrow" w:hAnsi="Arial Narrow"/>
                <w:sz w:val="24"/>
                <w:szCs w:val="24"/>
              </w:rPr>
            </w:pPr>
            <w:r w:rsidRPr="00D608EC">
              <w:rPr>
                <w:rFonts w:ascii="Arial Narrow" w:hAnsi="Arial Narrow"/>
                <w:sz w:val="24"/>
                <w:szCs w:val="24"/>
              </w:rPr>
              <w:t>Amparo en revisión amparo en revisión 320/2021</w:t>
            </w:r>
          </w:p>
          <w:p w14:paraId="537CC521" w14:textId="77777777" w:rsidR="0000721B" w:rsidRPr="00D608EC" w:rsidRDefault="0000721B" w:rsidP="00D608EC">
            <w:pPr>
              <w:jc w:val="center"/>
              <w:rPr>
                <w:rFonts w:ascii="Arial Narrow" w:hAnsi="Arial Narrow"/>
                <w:sz w:val="24"/>
                <w:szCs w:val="24"/>
              </w:rPr>
            </w:pPr>
          </w:p>
        </w:tc>
        <w:tc>
          <w:tcPr>
            <w:tcW w:w="1599" w:type="dxa"/>
          </w:tcPr>
          <w:p w14:paraId="74A36FC8" w14:textId="192E8E37" w:rsidR="0000721B" w:rsidRPr="00D608EC" w:rsidRDefault="0000721B" w:rsidP="00D608EC">
            <w:pPr>
              <w:jc w:val="center"/>
              <w:rPr>
                <w:rFonts w:ascii="Arial Narrow" w:hAnsi="Arial Narrow"/>
                <w:sz w:val="24"/>
                <w:szCs w:val="24"/>
              </w:rPr>
            </w:pPr>
            <w:r w:rsidRPr="00D608EC">
              <w:rPr>
                <w:rFonts w:ascii="Arial Narrow" w:hAnsi="Arial Narrow"/>
                <w:sz w:val="24"/>
                <w:szCs w:val="24"/>
              </w:rPr>
              <w:t>Segunda Sala</w:t>
            </w:r>
          </w:p>
        </w:tc>
        <w:tc>
          <w:tcPr>
            <w:tcW w:w="2025" w:type="dxa"/>
          </w:tcPr>
          <w:p w14:paraId="3D0441F8" w14:textId="171D76BC" w:rsidR="0000721B" w:rsidRPr="00D608EC" w:rsidRDefault="0000721B" w:rsidP="00D608EC">
            <w:pPr>
              <w:jc w:val="center"/>
              <w:rPr>
                <w:rFonts w:ascii="Arial Narrow" w:hAnsi="Arial Narrow"/>
                <w:sz w:val="24"/>
                <w:szCs w:val="24"/>
              </w:rPr>
            </w:pPr>
            <w:r w:rsidRPr="00D608EC">
              <w:rPr>
                <w:rFonts w:ascii="Arial Narrow" w:hAnsi="Arial Narrow"/>
                <w:sz w:val="24"/>
                <w:szCs w:val="24"/>
              </w:rPr>
              <w:t xml:space="preserve">Mediante proveído de 5 de noviembre de 2021, se admitió a trámite el asunto, turnándose al señor Ministro Luis María Aguilar Morales y ordenándose notificar al Congreso de la Unión, para los efectos del plazo de 90 días a que se refieren los artículos 107, fracción II, párrafo tercero, de la Constitución Política de los Estados Unidos </w:t>
            </w:r>
            <w:proofErr w:type="gramStart"/>
            <w:r w:rsidRPr="00D608EC">
              <w:rPr>
                <w:rFonts w:ascii="Arial Narrow" w:hAnsi="Arial Narrow"/>
                <w:sz w:val="24"/>
                <w:szCs w:val="24"/>
              </w:rPr>
              <w:t>Mexicanos  y</w:t>
            </w:r>
            <w:proofErr w:type="gramEnd"/>
            <w:r w:rsidRPr="00D608EC">
              <w:rPr>
                <w:rFonts w:ascii="Arial Narrow" w:hAnsi="Arial Narrow"/>
                <w:sz w:val="24"/>
                <w:szCs w:val="24"/>
              </w:rPr>
              <w:t xml:space="preserve"> 232 de la Ley de Amparo.</w:t>
            </w:r>
          </w:p>
        </w:tc>
      </w:tr>
      <w:tr w:rsidR="00D608EC" w:rsidRPr="00D608EC" w14:paraId="76E526CB" w14:textId="77777777" w:rsidTr="00BE707B">
        <w:tc>
          <w:tcPr>
            <w:tcW w:w="1525" w:type="dxa"/>
          </w:tcPr>
          <w:p w14:paraId="730DCEE9" w14:textId="5E441738" w:rsidR="0000721B" w:rsidRPr="00D608EC" w:rsidRDefault="0000721B" w:rsidP="00D608EC">
            <w:pPr>
              <w:jc w:val="center"/>
              <w:rPr>
                <w:rFonts w:ascii="Arial Narrow" w:hAnsi="Arial Narrow"/>
                <w:b/>
                <w:bCs/>
                <w:sz w:val="24"/>
                <w:szCs w:val="24"/>
              </w:rPr>
            </w:pPr>
            <w:r w:rsidRPr="00D608EC">
              <w:rPr>
                <w:rFonts w:ascii="Arial Narrow" w:hAnsi="Arial Narrow"/>
                <w:b/>
                <w:bCs/>
                <w:sz w:val="24"/>
                <w:szCs w:val="24"/>
              </w:rPr>
              <w:t>1/2021</w:t>
            </w:r>
          </w:p>
        </w:tc>
        <w:tc>
          <w:tcPr>
            <w:tcW w:w="1537" w:type="dxa"/>
          </w:tcPr>
          <w:p w14:paraId="73C7A605" w14:textId="37940D02" w:rsidR="0000721B" w:rsidRPr="00D608EC" w:rsidRDefault="0000721B" w:rsidP="00D608EC">
            <w:pPr>
              <w:jc w:val="center"/>
              <w:rPr>
                <w:rFonts w:ascii="Arial Narrow" w:hAnsi="Arial Narrow"/>
                <w:sz w:val="24"/>
                <w:szCs w:val="24"/>
              </w:rPr>
            </w:pPr>
            <w:r w:rsidRPr="00D608EC">
              <w:rPr>
                <w:rFonts w:ascii="Arial Narrow" w:hAnsi="Arial Narrow"/>
                <w:sz w:val="24"/>
                <w:szCs w:val="24"/>
              </w:rPr>
              <w:t>27/10/21</w:t>
            </w:r>
          </w:p>
        </w:tc>
        <w:tc>
          <w:tcPr>
            <w:tcW w:w="1534" w:type="dxa"/>
          </w:tcPr>
          <w:p w14:paraId="4D3904E1" w14:textId="05535933" w:rsidR="0000721B" w:rsidRPr="00D608EC" w:rsidRDefault="0000721B" w:rsidP="00D608EC">
            <w:pPr>
              <w:jc w:val="center"/>
              <w:rPr>
                <w:rFonts w:ascii="Arial Narrow" w:hAnsi="Arial Narrow"/>
                <w:sz w:val="24"/>
                <w:szCs w:val="24"/>
              </w:rPr>
            </w:pPr>
            <w:r w:rsidRPr="00D608EC">
              <w:rPr>
                <w:rFonts w:ascii="Arial Narrow" w:hAnsi="Arial Narrow"/>
                <w:sz w:val="24"/>
                <w:szCs w:val="24"/>
              </w:rPr>
              <w:t>28/10/2021 al 01/09/2022</w:t>
            </w:r>
          </w:p>
        </w:tc>
        <w:tc>
          <w:tcPr>
            <w:tcW w:w="1674" w:type="dxa"/>
          </w:tcPr>
          <w:p w14:paraId="1F7CF758" w14:textId="5DF70F12" w:rsidR="0000721B" w:rsidRPr="00D608EC" w:rsidRDefault="0000721B" w:rsidP="00D608EC">
            <w:pPr>
              <w:jc w:val="center"/>
              <w:rPr>
                <w:rFonts w:ascii="Arial Narrow" w:hAnsi="Arial Narrow"/>
                <w:sz w:val="24"/>
                <w:szCs w:val="24"/>
              </w:rPr>
            </w:pPr>
            <w:r w:rsidRPr="00D608EC">
              <w:rPr>
                <w:rFonts w:ascii="Arial Narrow" w:hAnsi="Arial Narrow"/>
                <w:sz w:val="24"/>
                <w:szCs w:val="24"/>
              </w:rPr>
              <w:t>Artículo 160 de la Ley del Instituto de Seguridad Social para las Fuerzas Armadas Mexicanas</w:t>
            </w:r>
          </w:p>
        </w:tc>
        <w:tc>
          <w:tcPr>
            <w:tcW w:w="1503" w:type="dxa"/>
          </w:tcPr>
          <w:p w14:paraId="1829A903" w14:textId="11FC623C" w:rsidR="0000721B" w:rsidRPr="00D608EC" w:rsidRDefault="0000721B" w:rsidP="00D608EC">
            <w:pPr>
              <w:jc w:val="center"/>
              <w:rPr>
                <w:rFonts w:ascii="Arial Narrow" w:hAnsi="Arial Narrow"/>
                <w:sz w:val="24"/>
                <w:szCs w:val="24"/>
              </w:rPr>
            </w:pPr>
            <w:r w:rsidRPr="00D608EC">
              <w:rPr>
                <w:rFonts w:ascii="Arial Narrow" w:hAnsi="Arial Narrow"/>
                <w:sz w:val="24"/>
                <w:szCs w:val="24"/>
              </w:rPr>
              <w:t>Congreso de la Unión</w:t>
            </w:r>
          </w:p>
        </w:tc>
        <w:tc>
          <w:tcPr>
            <w:tcW w:w="1599" w:type="dxa"/>
          </w:tcPr>
          <w:p w14:paraId="70C85A17" w14:textId="77777777" w:rsidR="0000721B" w:rsidRPr="00D608EC" w:rsidRDefault="0000721B" w:rsidP="00D608EC">
            <w:pPr>
              <w:jc w:val="center"/>
              <w:rPr>
                <w:rFonts w:ascii="Arial Narrow" w:hAnsi="Arial Narrow"/>
                <w:sz w:val="24"/>
                <w:szCs w:val="24"/>
              </w:rPr>
            </w:pPr>
            <w:r w:rsidRPr="00D608EC">
              <w:rPr>
                <w:rFonts w:ascii="Arial Narrow" w:hAnsi="Arial Narrow"/>
                <w:sz w:val="24"/>
                <w:szCs w:val="24"/>
              </w:rPr>
              <w:t xml:space="preserve">Pensión por viudez. La previsión normativa conforme a la cual la relación de concubinato se acreditará, para reclamar su otorgamiento, únicamente con la designación que el militar haya realizado de la persona interesada el Instituto, vulnera el mandato de protección a la </w:t>
            </w:r>
            <w:proofErr w:type="gramStart"/>
            <w:r w:rsidRPr="00D608EC">
              <w:rPr>
                <w:rFonts w:ascii="Arial Narrow" w:hAnsi="Arial Narrow"/>
                <w:sz w:val="24"/>
                <w:szCs w:val="24"/>
              </w:rPr>
              <w:t>familia</w:t>
            </w:r>
            <w:proofErr w:type="gramEnd"/>
            <w:r w:rsidRPr="00D608EC">
              <w:rPr>
                <w:rFonts w:ascii="Arial Narrow" w:hAnsi="Arial Narrow"/>
                <w:sz w:val="24"/>
                <w:szCs w:val="24"/>
              </w:rPr>
              <w:t xml:space="preserve"> así como el derecho de audiencia.</w:t>
            </w:r>
          </w:p>
          <w:p w14:paraId="7D6F6336" w14:textId="77777777" w:rsidR="0000721B" w:rsidRPr="00D608EC" w:rsidRDefault="0000721B" w:rsidP="00D608EC">
            <w:pPr>
              <w:jc w:val="center"/>
              <w:rPr>
                <w:rFonts w:ascii="Arial Narrow" w:hAnsi="Arial Narrow"/>
                <w:sz w:val="24"/>
                <w:szCs w:val="24"/>
              </w:rPr>
            </w:pPr>
          </w:p>
          <w:p w14:paraId="11459ADB" w14:textId="00BF3371" w:rsidR="0000721B" w:rsidRPr="00D608EC" w:rsidRDefault="0000721B" w:rsidP="00D608EC">
            <w:pPr>
              <w:jc w:val="center"/>
              <w:rPr>
                <w:rFonts w:ascii="Arial Narrow" w:hAnsi="Arial Narrow"/>
                <w:sz w:val="24"/>
                <w:szCs w:val="24"/>
              </w:rPr>
            </w:pPr>
            <w:r w:rsidRPr="00D608EC">
              <w:rPr>
                <w:rFonts w:ascii="Arial Narrow" w:hAnsi="Arial Narrow"/>
                <w:sz w:val="24"/>
                <w:szCs w:val="24"/>
              </w:rPr>
              <w:t>Amparo en revisión 77/2021</w:t>
            </w:r>
          </w:p>
        </w:tc>
        <w:tc>
          <w:tcPr>
            <w:tcW w:w="1599" w:type="dxa"/>
          </w:tcPr>
          <w:p w14:paraId="365270F7" w14:textId="23E86CF3" w:rsidR="0000721B" w:rsidRPr="00D608EC" w:rsidRDefault="0000721B" w:rsidP="00D608EC">
            <w:pPr>
              <w:jc w:val="center"/>
              <w:rPr>
                <w:rFonts w:ascii="Arial Narrow" w:hAnsi="Arial Narrow"/>
                <w:sz w:val="24"/>
                <w:szCs w:val="24"/>
              </w:rPr>
            </w:pPr>
            <w:r w:rsidRPr="00D608EC">
              <w:rPr>
                <w:rFonts w:ascii="Arial Narrow" w:hAnsi="Arial Narrow"/>
                <w:sz w:val="24"/>
                <w:szCs w:val="24"/>
              </w:rPr>
              <w:t>Segunda Sala</w:t>
            </w:r>
          </w:p>
        </w:tc>
        <w:tc>
          <w:tcPr>
            <w:tcW w:w="2025" w:type="dxa"/>
          </w:tcPr>
          <w:p w14:paraId="13C4906B" w14:textId="40D2E998" w:rsidR="0000721B" w:rsidRPr="00D608EC" w:rsidRDefault="0000721B" w:rsidP="00D608EC">
            <w:pPr>
              <w:jc w:val="center"/>
              <w:rPr>
                <w:rFonts w:ascii="Arial Narrow" w:hAnsi="Arial Narrow"/>
                <w:sz w:val="24"/>
                <w:szCs w:val="24"/>
              </w:rPr>
            </w:pPr>
            <w:r w:rsidRPr="00D608EC">
              <w:rPr>
                <w:rFonts w:ascii="Arial Narrow" w:hAnsi="Arial Narrow"/>
                <w:sz w:val="24"/>
                <w:szCs w:val="24"/>
              </w:rPr>
              <w:t xml:space="preserve">Mediante proveído de 18 de octubre de 2021, se admitió a trámite el asunto, turnándose a la señora Ministra Yasmín Esquivel Mossa y </w:t>
            </w:r>
            <w:proofErr w:type="gramStart"/>
            <w:r w:rsidRPr="00D608EC">
              <w:rPr>
                <w:rFonts w:ascii="Arial Narrow" w:hAnsi="Arial Narrow"/>
                <w:sz w:val="24"/>
                <w:szCs w:val="24"/>
              </w:rPr>
              <w:t>ordenándose  notificar</w:t>
            </w:r>
            <w:proofErr w:type="gramEnd"/>
            <w:r w:rsidRPr="00D608EC">
              <w:rPr>
                <w:rFonts w:ascii="Arial Narrow" w:hAnsi="Arial Narrow"/>
                <w:sz w:val="24"/>
                <w:szCs w:val="24"/>
              </w:rPr>
              <w:t xml:space="preserve"> al Congreso de la Unión, para los efectos del plazo de 90 días a que se refieren los artículos 107, fracción II, párrafo tercero, de la Constitución Política de los Estados Unidos Mexicanos  y 232 de la Ley de Amparo.</w:t>
            </w:r>
          </w:p>
        </w:tc>
      </w:tr>
    </w:tbl>
    <w:p w14:paraId="25727929" w14:textId="77777777" w:rsidR="004B0DC2" w:rsidRPr="00D608EC" w:rsidRDefault="004B0DC2" w:rsidP="00D608EC">
      <w:pPr>
        <w:jc w:val="center"/>
        <w:rPr>
          <w:rFonts w:ascii="Arial Narrow" w:hAnsi="Arial Narrow"/>
          <w:sz w:val="24"/>
          <w:szCs w:val="24"/>
        </w:rPr>
      </w:pPr>
    </w:p>
    <w:sectPr w:rsidR="004B0DC2" w:rsidRPr="00D608EC" w:rsidSect="00A954CE">
      <w:headerReference w:type="default" r:id="rId6"/>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86892" w14:textId="77777777" w:rsidR="0019441A" w:rsidRDefault="0019441A" w:rsidP="00790F8D">
      <w:pPr>
        <w:spacing w:after="0" w:line="240" w:lineRule="auto"/>
      </w:pPr>
      <w:r>
        <w:separator/>
      </w:r>
    </w:p>
  </w:endnote>
  <w:endnote w:type="continuationSeparator" w:id="0">
    <w:p w14:paraId="1DADDE41" w14:textId="77777777" w:rsidR="0019441A" w:rsidRDefault="0019441A" w:rsidP="0079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CC2DD" w14:textId="77777777" w:rsidR="0019441A" w:rsidRDefault="0019441A" w:rsidP="00790F8D">
      <w:pPr>
        <w:spacing w:after="0" w:line="240" w:lineRule="auto"/>
      </w:pPr>
      <w:r>
        <w:separator/>
      </w:r>
    </w:p>
  </w:footnote>
  <w:footnote w:type="continuationSeparator" w:id="0">
    <w:p w14:paraId="3B752893" w14:textId="77777777" w:rsidR="0019441A" w:rsidRDefault="0019441A" w:rsidP="00790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6D45F" w14:textId="208AAD4A" w:rsidR="006544AD" w:rsidRPr="006544AD" w:rsidRDefault="006544AD" w:rsidP="006544AD">
    <w:pPr>
      <w:pStyle w:val="Encabezado"/>
      <w:jc w:val="center"/>
      <w:rPr>
        <w:rFonts w:ascii="Arial" w:hAnsi="Arial" w:cs="Arial"/>
        <w:b/>
        <w:bCs/>
        <w:sz w:val="32"/>
        <w:szCs w:val="32"/>
      </w:rPr>
    </w:pPr>
    <w:r w:rsidRPr="006544AD">
      <w:rPr>
        <w:rFonts w:ascii="Arial" w:hAnsi="Arial" w:cs="Arial"/>
        <w:b/>
        <w:bCs/>
        <w:sz w:val="32"/>
        <w:szCs w:val="32"/>
      </w:rPr>
      <w:t xml:space="preserve">ANEXO AL OFICIO </w:t>
    </w:r>
    <w:r w:rsidRPr="006544AD">
      <w:rPr>
        <w:rFonts w:ascii="Arial" w:hAnsi="Arial" w:cs="Arial"/>
        <w:b/>
        <w:bCs/>
        <w:sz w:val="32"/>
        <w:szCs w:val="32"/>
      </w:rPr>
      <w:t>SGA/FAOT/433/2021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4CE"/>
    <w:rsid w:val="0000721B"/>
    <w:rsid w:val="00032214"/>
    <w:rsid w:val="00092E25"/>
    <w:rsid w:val="0019441A"/>
    <w:rsid w:val="0039349F"/>
    <w:rsid w:val="004B0DC2"/>
    <w:rsid w:val="0057165B"/>
    <w:rsid w:val="005D31BA"/>
    <w:rsid w:val="006544AD"/>
    <w:rsid w:val="007176CF"/>
    <w:rsid w:val="00790F8D"/>
    <w:rsid w:val="008B60C2"/>
    <w:rsid w:val="009C0BF4"/>
    <w:rsid w:val="009D33BF"/>
    <w:rsid w:val="00A954CE"/>
    <w:rsid w:val="00BC5128"/>
    <w:rsid w:val="00BE707B"/>
    <w:rsid w:val="00CF6FA7"/>
    <w:rsid w:val="00D608EC"/>
    <w:rsid w:val="00E20812"/>
    <w:rsid w:val="00ED0C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E0BF3"/>
  <w15:chartTrackingRefBased/>
  <w15:docId w15:val="{13492790-A7D0-4C30-A1F6-7CB280A6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95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544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4AD"/>
  </w:style>
  <w:style w:type="paragraph" w:styleId="Piedepgina">
    <w:name w:val="footer"/>
    <w:basedOn w:val="Normal"/>
    <w:link w:val="PiedepginaCar"/>
    <w:uiPriority w:val="99"/>
    <w:unhideWhenUsed/>
    <w:rsid w:val="006544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44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673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1700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ALEJANDRO OLMOS DE LA TORRE</dc:creator>
  <cp:keywords/>
  <dc:description/>
  <cp:lastModifiedBy>FRANCISCO ALEJANDRO OLMOS DE LA TORRE</cp:lastModifiedBy>
  <cp:revision>2</cp:revision>
  <dcterms:created xsi:type="dcterms:W3CDTF">2021-12-14T21:46:00Z</dcterms:created>
  <dcterms:modified xsi:type="dcterms:W3CDTF">2021-12-14T21:46:00Z</dcterms:modified>
</cp:coreProperties>
</file>